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6BD7" w14:textId="5955A578" w:rsidR="00B940E7" w:rsidRPr="005A76EB" w:rsidRDefault="005A76EB">
      <w:pPr>
        <w:rPr>
          <w:b/>
          <w:bCs/>
          <w:sz w:val="28"/>
          <w:szCs w:val="28"/>
        </w:rPr>
      </w:pPr>
      <w:r w:rsidRPr="005A76EB">
        <w:rPr>
          <w:b/>
          <w:bCs/>
          <w:sz w:val="28"/>
          <w:szCs w:val="28"/>
        </w:rPr>
        <w:t>GMA Work program topics/tasks for 2025</w:t>
      </w:r>
      <w:r>
        <w:rPr>
          <w:b/>
          <w:bCs/>
          <w:sz w:val="28"/>
          <w:szCs w:val="28"/>
        </w:rPr>
        <w:t xml:space="preserve"> – DISCUSSION DRAFT</w:t>
      </w:r>
    </w:p>
    <w:p w14:paraId="1302BF12" w14:textId="77777777" w:rsidR="005A76EB" w:rsidRDefault="005A76EB"/>
    <w:p w14:paraId="2FDD1A24" w14:textId="33D9FCE9" w:rsidR="005A76EB" w:rsidRDefault="005A76EB">
      <w:r>
        <w:t>Core Framework Agreement and Administrative</w:t>
      </w:r>
    </w:p>
    <w:p w14:paraId="03A263CF" w14:textId="445D1D53" w:rsidR="005A76EB" w:rsidRDefault="005A76EB" w:rsidP="005A76EB">
      <w:pPr>
        <w:pStyle w:val="ListParagraph"/>
        <w:numPr>
          <w:ilvl w:val="0"/>
          <w:numId w:val="1"/>
        </w:numPr>
      </w:pPr>
      <w:r>
        <w:t>Administrative Support.</w:t>
      </w:r>
    </w:p>
    <w:p w14:paraId="38ED0696" w14:textId="433AD40A" w:rsidR="005A76EB" w:rsidRDefault="005A76EB" w:rsidP="005A76EB">
      <w:pPr>
        <w:pStyle w:val="ListParagraph"/>
        <w:numPr>
          <w:ilvl w:val="0"/>
          <w:numId w:val="1"/>
        </w:numPr>
      </w:pPr>
      <w:r>
        <w:t>Target Reconciliation – continued from 2024.</w:t>
      </w:r>
    </w:p>
    <w:p w14:paraId="2469909C" w14:textId="42E56A23" w:rsidR="005A76EB" w:rsidRDefault="005A76EB" w:rsidP="005A76EB">
      <w:pPr>
        <w:pStyle w:val="ListParagraph"/>
        <w:numPr>
          <w:ilvl w:val="0"/>
          <w:numId w:val="1"/>
        </w:numPr>
      </w:pPr>
      <w:r>
        <w:t>Urban Growth Area boundary recommendations.</w:t>
      </w:r>
    </w:p>
    <w:p w14:paraId="1EC71255" w14:textId="77777777" w:rsidR="005A76EB" w:rsidRDefault="005A76EB" w:rsidP="005A76EB">
      <w:pPr>
        <w:pStyle w:val="ListParagraph"/>
        <w:numPr>
          <w:ilvl w:val="0"/>
          <w:numId w:val="1"/>
        </w:numPr>
      </w:pPr>
    </w:p>
    <w:p w14:paraId="67AB587C" w14:textId="38337B7B" w:rsidR="005A76EB" w:rsidRDefault="005A76EB">
      <w:r>
        <w:t>Technical Support</w:t>
      </w:r>
    </w:p>
    <w:p w14:paraId="0303AEDD" w14:textId="3D35647E" w:rsidR="005A76EB" w:rsidRDefault="005A76EB" w:rsidP="005A76EB">
      <w:pPr>
        <w:pStyle w:val="ListParagraph"/>
        <w:numPr>
          <w:ilvl w:val="0"/>
          <w:numId w:val="2"/>
        </w:numPr>
      </w:pPr>
      <w:r>
        <w:t>Develop methodology for incorporating housing by 1220 categories into annual growth monitoring report.</w:t>
      </w:r>
    </w:p>
    <w:p w14:paraId="1985C09D" w14:textId="4E1CAD69" w:rsidR="005A76EB" w:rsidRDefault="005A76EB" w:rsidP="005A76EB">
      <w:pPr>
        <w:pStyle w:val="ListParagraph"/>
        <w:numPr>
          <w:ilvl w:val="0"/>
          <w:numId w:val="2"/>
        </w:numPr>
      </w:pPr>
      <w:r>
        <w:t>Establish new Baseline Growth Monitoring report.</w:t>
      </w:r>
    </w:p>
    <w:p w14:paraId="6FC34108" w14:textId="4415C936" w:rsidR="005A76EB" w:rsidRDefault="005A76EB" w:rsidP="005A76EB">
      <w:pPr>
        <w:pStyle w:val="ListParagraph"/>
        <w:numPr>
          <w:ilvl w:val="0"/>
          <w:numId w:val="2"/>
        </w:numPr>
      </w:pPr>
      <w:r>
        <w:t>Examine technical methods of combining the four city and County land capacity results into one GIS based information system. Would require County GIS staff support and funds for the County.</w:t>
      </w:r>
    </w:p>
    <w:p w14:paraId="2ED533F9" w14:textId="5A416988" w:rsidR="005A76EB" w:rsidRDefault="005A76EB">
      <w:r>
        <w:t>Policy Support</w:t>
      </w:r>
    </w:p>
    <w:p w14:paraId="638345CA" w14:textId="527183A6" w:rsidR="005A76EB" w:rsidRDefault="005A76EB" w:rsidP="005A76EB">
      <w:pPr>
        <w:pStyle w:val="ListParagraph"/>
        <w:numPr>
          <w:ilvl w:val="0"/>
          <w:numId w:val="3"/>
        </w:numPr>
      </w:pPr>
      <w:r>
        <w:t>Address HB1717 CPPs for protection of tribal cultural resources.</w:t>
      </w:r>
    </w:p>
    <w:p w14:paraId="2447361D" w14:textId="03DC81D1" w:rsidR="00E25AA6" w:rsidRDefault="00E25AA6" w:rsidP="005A76EB">
      <w:pPr>
        <w:pStyle w:val="ListParagraph"/>
        <w:numPr>
          <w:ilvl w:val="0"/>
          <w:numId w:val="3"/>
        </w:numPr>
      </w:pPr>
      <w:r>
        <w:t xml:space="preserve">Adress missing GMA Goal relating to shorelines of the state. </w:t>
      </w:r>
      <w:r w:rsidRPr="00E25AA6">
        <w:t xml:space="preserve">For shorelines of the state, the goals and policies of the shoreline management act as set forth in RCW 90.58.020 shall be considered an element of the </w:t>
      </w:r>
      <w:proofErr w:type="gramStart"/>
      <w:r w:rsidRPr="00E25AA6">
        <w:t>county’s</w:t>
      </w:r>
      <w:proofErr w:type="gramEnd"/>
      <w:r w:rsidRPr="00E25AA6">
        <w:t xml:space="preserve"> or city’s comprehensive plan.</w:t>
      </w:r>
    </w:p>
    <w:p w14:paraId="2512BF62" w14:textId="015C8CB2" w:rsidR="005A76EB" w:rsidRDefault="00A3245B">
      <w:r>
        <w:t>1181 Outstanding work?</w:t>
      </w:r>
    </w:p>
    <w:p w14:paraId="2BAB6B79" w14:textId="77777777" w:rsidR="00A3245B" w:rsidRDefault="00A3245B"/>
    <w:sectPr w:rsidR="00A3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2AC4"/>
    <w:multiLevelType w:val="hybridMultilevel"/>
    <w:tmpl w:val="9AC0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834"/>
    <w:multiLevelType w:val="hybridMultilevel"/>
    <w:tmpl w:val="5A1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614F"/>
    <w:multiLevelType w:val="hybridMultilevel"/>
    <w:tmpl w:val="D8E4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84191">
    <w:abstractNumId w:val="1"/>
  </w:num>
  <w:num w:numId="2" w16cid:durableId="1654681648">
    <w:abstractNumId w:val="2"/>
  </w:num>
  <w:num w:numId="3" w16cid:durableId="160550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EB"/>
    <w:rsid w:val="00345C33"/>
    <w:rsid w:val="005A76EB"/>
    <w:rsid w:val="00A3245B"/>
    <w:rsid w:val="00B940E7"/>
    <w:rsid w:val="00C4578E"/>
    <w:rsid w:val="00C46CC4"/>
    <w:rsid w:val="00CC5809"/>
    <w:rsid w:val="00E04CC9"/>
    <w:rsid w:val="00E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2294"/>
  <w15:chartTrackingRefBased/>
  <w15:docId w15:val="{7507797D-CBB5-4A0C-84A2-97FE24F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6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6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6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6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6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6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6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6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6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6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6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6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6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76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7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76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6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76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76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6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76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Sarah A. Ruether</cp:lastModifiedBy>
  <cp:revision>2</cp:revision>
  <dcterms:created xsi:type="dcterms:W3CDTF">2024-06-25T17:09:00Z</dcterms:created>
  <dcterms:modified xsi:type="dcterms:W3CDTF">2024-06-25T17:09:00Z</dcterms:modified>
</cp:coreProperties>
</file>